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11" w:rsidRPr="00E72229" w:rsidRDefault="005502D6" w:rsidP="00E72229">
      <w:pPr>
        <w:pStyle w:val="Heading1"/>
      </w:pPr>
      <w:bookmarkStart w:id="0" w:name="_9lrqm1luytlp" w:colFirst="0" w:colLast="0"/>
      <w:bookmarkEnd w:id="0"/>
      <w:r w:rsidRPr="00E72229">
        <w:t>Method 19 - High Concentration Rare Earth Elements by Inductively Coupled Plasma-Mass Spectroscopy (ICP-MS), Sodium Peroxide Fusion</w:t>
      </w:r>
    </w:p>
    <w:p w:rsidR="002C5811" w:rsidRPr="00E72229" w:rsidRDefault="005502D6">
      <w:pPr>
        <w:pBdr>
          <w:top w:val="nil"/>
          <w:left w:val="nil"/>
          <w:bottom w:val="nil"/>
          <w:right w:val="nil"/>
          <w:between w:val="nil"/>
        </w:pBdr>
        <w:rPr>
          <w:b/>
        </w:rPr>
      </w:pPr>
      <w:r w:rsidRPr="00E72229">
        <w:rPr>
          <w:b/>
        </w:rPr>
        <w:t>Sample Weight: 0.5 g</w:t>
      </w:r>
    </w:p>
    <w:p w:rsidR="002C5811" w:rsidRPr="00E72229" w:rsidRDefault="005502D6" w:rsidP="00E72229">
      <w:pPr>
        <w:pStyle w:val="Heading2"/>
      </w:pPr>
      <w:bookmarkStart w:id="1" w:name="_dmioosts8wcs" w:colFirst="0" w:colLast="0"/>
      <w:bookmarkEnd w:id="1"/>
      <w:r w:rsidRPr="00E72229">
        <w:t>Summary</w:t>
      </w:r>
    </w:p>
    <w:p w:rsidR="002C5811" w:rsidRDefault="005502D6">
      <w:pPr>
        <w:pBdr>
          <w:top w:val="nil"/>
          <w:left w:val="nil"/>
          <w:bottom w:val="nil"/>
          <w:right w:val="nil"/>
          <w:between w:val="nil"/>
        </w:pBdr>
      </w:pPr>
      <w:r>
        <w:t xml:space="preserve">The rare earth elements plus lanthanum, thorium, uranium, yttrium, barium and strontium are determined in geological materials using Inductively Coupled Plasma-Mass Spectrometry (ICP-MS). The sample is decomposed using a sodium peroxide-sodium hydroxide fusion to ensure complete dissolution of the elements. The digested sample is aspirated into a radio frequency plasma and the resultant ions for each element are separated on a mass to charge ratio and measured using an electron multiplier detector. </w:t>
      </w:r>
    </w:p>
    <w:p w:rsidR="002C5811" w:rsidRDefault="002C5811">
      <w:pPr>
        <w:pBdr>
          <w:top w:val="nil"/>
          <w:left w:val="nil"/>
          <w:bottom w:val="nil"/>
          <w:right w:val="nil"/>
          <w:between w:val="nil"/>
        </w:pBdr>
      </w:pPr>
    </w:p>
    <w:p w:rsidR="002C5811" w:rsidRPr="009E1D0A" w:rsidRDefault="005502D6">
      <w:pPr>
        <w:pBdr>
          <w:top w:val="nil"/>
          <w:left w:val="nil"/>
          <w:bottom w:val="nil"/>
          <w:right w:val="nil"/>
          <w:between w:val="nil"/>
        </w:pBdr>
        <w:rPr>
          <w:b/>
        </w:rPr>
      </w:pPr>
      <w:r>
        <w:rPr>
          <w:b/>
        </w:rPr>
        <w:t>Note: This method is designed for high-concentration rare earth element samples only. Typically, samples must contain at least 1000 ppm total rare earth elements. Low concentration rare earth element samples are measured by the Sixty Element ICP-OES-MS Sodium Peroxide Fusion method.</w:t>
      </w:r>
    </w:p>
    <w:p w:rsidR="009E1D0A" w:rsidRDefault="005502D6" w:rsidP="009E1D0A">
      <w:pPr>
        <w:pStyle w:val="Heading2"/>
        <w:rPr>
          <w:highlight w:val="white"/>
        </w:rPr>
      </w:pPr>
      <w:r w:rsidRPr="009E1D0A">
        <w:rPr>
          <w:highlight w:val="white"/>
        </w:rPr>
        <w:t xml:space="preserve">Method 19 Elements and Reporting Limits </w:t>
      </w:r>
    </w:p>
    <w:p w:rsidR="002C5811" w:rsidRPr="009E1D0A" w:rsidRDefault="005502D6" w:rsidP="009E1D0A">
      <w:pPr>
        <w:rPr>
          <w:highlight w:val="white"/>
        </w:rPr>
      </w:pPr>
      <w:r w:rsidRPr="009E1D0A">
        <w:rPr>
          <w:highlight w:val="white"/>
        </w:rPr>
        <w:t>(There are no upper limits for this method)</w:t>
      </w:r>
    </w:p>
    <w:p w:rsidR="002C5811" w:rsidRDefault="002C5811">
      <w:pPr>
        <w:pBdr>
          <w:top w:val="nil"/>
          <w:left w:val="nil"/>
          <w:bottom w:val="nil"/>
          <w:right w:val="nil"/>
          <w:between w:val="nil"/>
        </w:pBdr>
        <w:rPr>
          <w:rFonts w:ascii="Verdana" w:eastAsia="Verdana" w:hAnsi="Verdana" w:cs="Verdana"/>
          <w:sz w:val="19"/>
          <w:szCs w:val="19"/>
          <w:highlight w:val="white"/>
        </w:rPr>
      </w:pPr>
    </w:p>
    <w:tbl>
      <w:tblPr>
        <w:tblStyle w:val="GridTable1Light"/>
        <w:tblW w:w="7200" w:type="dxa"/>
        <w:tblLayout w:type="fixed"/>
        <w:tblCellMar>
          <w:top w:w="115" w:type="dxa"/>
          <w:left w:w="115" w:type="dxa"/>
          <w:bottom w:w="115" w:type="dxa"/>
          <w:right w:w="115" w:type="dxa"/>
        </w:tblCellMar>
        <w:tblLook w:val="0620" w:firstRow="1" w:lastRow="0" w:firstColumn="0" w:lastColumn="0" w:noHBand="1" w:noVBand="1"/>
      </w:tblPr>
      <w:tblGrid>
        <w:gridCol w:w="3035"/>
        <w:gridCol w:w="4165"/>
      </w:tblGrid>
      <w:tr w:rsidR="002C5811" w:rsidTr="009E1D0A">
        <w:trPr>
          <w:cnfStyle w:val="100000000000" w:firstRow="1" w:lastRow="0" w:firstColumn="0" w:lastColumn="0" w:oddVBand="0" w:evenVBand="0" w:oddHBand="0" w:evenHBand="0" w:firstRowFirstColumn="0" w:firstRowLastColumn="0" w:lastRowFirstColumn="0" w:lastRowLastColumn="0"/>
        </w:trPr>
        <w:tc>
          <w:tcPr>
            <w:tcW w:w="3933" w:type="dxa"/>
          </w:tcPr>
          <w:p w:rsidR="002C5811" w:rsidRDefault="005502D6">
            <w:pPr>
              <w:pBdr>
                <w:top w:val="nil"/>
                <w:left w:val="nil"/>
                <w:bottom w:val="nil"/>
                <w:right w:val="nil"/>
                <w:between w:val="nil"/>
              </w:pBdr>
            </w:pPr>
            <w:r>
              <w:t>Element</w:t>
            </w:r>
          </w:p>
        </w:tc>
        <w:tc>
          <w:tcPr>
            <w:tcW w:w="5426" w:type="dxa"/>
          </w:tcPr>
          <w:p w:rsidR="002C5811" w:rsidRDefault="005502D6">
            <w:pPr>
              <w:pBdr>
                <w:top w:val="nil"/>
                <w:left w:val="nil"/>
                <w:bottom w:val="nil"/>
                <w:right w:val="nil"/>
                <w:between w:val="nil"/>
              </w:pBdr>
            </w:pPr>
            <w:r>
              <w:t>Lower Reporting Limits</w:t>
            </w:r>
          </w:p>
        </w:tc>
      </w:tr>
      <w:tr w:rsidR="002C5811" w:rsidTr="009E1D0A">
        <w:tc>
          <w:tcPr>
            <w:tcW w:w="3933" w:type="dxa"/>
          </w:tcPr>
          <w:p w:rsidR="002C5811" w:rsidRDefault="005502D6">
            <w:pPr>
              <w:pBdr>
                <w:top w:val="nil"/>
                <w:left w:val="nil"/>
                <w:bottom w:val="nil"/>
                <w:right w:val="nil"/>
                <w:between w:val="nil"/>
              </w:pBdr>
            </w:pPr>
            <w:r>
              <w:t>Cerium, Ce</w:t>
            </w:r>
          </w:p>
        </w:tc>
        <w:tc>
          <w:tcPr>
            <w:tcW w:w="5426" w:type="dxa"/>
          </w:tcPr>
          <w:p w:rsidR="002C5811" w:rsidRDefault="005502D6">
            <w:pPr>
              <w:pBdr>
                <w:top w:val="nil"/>
                <w:left w:val="nil"/>
                <w:bottom w:val="nil"/>
                <w:right w:val="nil"/>
                <w:between w:val="nil"/>
              </w:pBdr>
            </w:pPr>
            <w:r>
              <w:t>0.5 ppm</w:t>
            </w:r>
          </w:p>
        </w:tc>
      </w:tr>
      <w:tr w:rsidR="002C5811" w:rsidTr="009E1D0A">
        <w:tc>
          <w:tcPr>
            <w:tcW w:w="3933" w:type="dxa"/>
          </w:tcPr>
          <w:p w:rsidR="002C5811" w:rsidRDefault="005502D6">
            <w:pPr>
              <w:pBdr>
                <w:top w:val="nil"/>
                <w:left w:val="nil"/>
                <w:bottom w:val="nil"/>
                <w:right w:val="nil"/>
                <w:between w:val="nil"/>
              </w:pBdr>
            </w:pPr>
            <w:r>
              <w:t>Dysprosium, Dy</w:t>
            </w:r>
          </w:p>
        </w:tc>
        <w:tc>
          <w:tcPr>
            <w:tcW w:w="5426" w:type="dxa"/>
          </w:tcPr>
          <w:p w:rsidR="002C5811" w:rsidRDefault="005502D6">
            <w:pPr>
              <w:pBdr>
                <w:top w:val="nil"/>
                <w:left w:val="nil"/>
                <w:bottom w:val="nil"/>
                <w:right w:val="nil"/>
                <w:between w:val="nil"/>
              </w:pBdr>
            </w:pPr>
            <w:r>
              <w:t>0.5 ppm</w:t>
            </w:r>
          </w:p>
        </w:tc>
      </w:tr>
      <w:tr w:rsidR="002C5811" w:rsidTr="009E1D0A">
        <w:tc>
          <w:tcPr>
            <w:tcW w:w="3933" w:type="dxa"/>
          </w:tcPr>
          <w:p w:rsidR="002C5811" w:rsidRDefault="005502D6">
            <w:pPr>
              <w:pBdr>
                <w:top w:val="nil"/>
                <w:left w:val="nil"/>
                <w:bottom w:val="nil"/>
                <w:right w:val="nil"/>
                <w:between w:val="nil"/>
              </w:pBdr>
            </w:pPr>
            <w:r>
              <w:t xml:space="preserve">Erbium, </w:t>
            </w:r>
            <w:proofErr w:type="spellStart"/>
            <w:r>
              <w:t>Er</w:t>
            </w:r>
            <w:proofErr w:type="spellEnd"/>
          </w:p>
        </w:tc>
        <w:tc>
          <w:tcPr>
            <w:tcW w:w="5426" w:type="dxa"/>
          </w:tcPr>
          <w:p w:rsidR="002C5811" w:rsidRDefault="005502D6">
            <w:pPr>
              <w:pBdr>
                <w:top w:val="nil"/>
                <w:left w:val="nil"/>
                <w:bottom w:val="nil"/>
                <w:right w:val="nil"/>
                <w:between w:val="nil"/>
              </w:pBdr>
            </w:pPr>
            <w:r>
              <w:t>0.03 ppm</w:t>
            </w:r>
          </w:p>
        </w:tc>
      </w:tr>
      <w:tr w:rsidR="002C5811" w:rsidTr="009E1D0A">
        <w:tc>
          <w:tcPr>
            <w:tcW w:w="3933" w:type="dxa"/>
          </w:tcPr>
          <w:p w:rsidR="002C5811" w:rsidRDefault="005502D6">
            <w:pPr>
              <w:pBdr>
                <w:top w:val="nil"/>
                <w:left w:val="nil"/>
                <w:bottom w:val="nil"/>
                <w:right w:val="nil"/>
                <w:between w:val="nil"/>
              </w:pBdr>
            </w:pPr>
            <w:r>
              <w:t>Europium, Eu</w:t>
            </w:r>
          </w:p>
        </w:tc>
        <w:tc>
          <w:tcPr>
            <w:tcW w:w="5426" w:type="dxa"/>
          </w:tcPr>
          <w:p w:rsidR="002C5811" w:rsidRDefault="005502D6">
            <w:pPr>
              <w:pBdr>
                <w:top w:val="nil"/>
                <w:left w:val="nil"/>
                <w:bottom w:val="nil"/>
                <w:right w:val="nil"/>
                <w:between w:val="nil"/>
              </w:pBdr>
            </w:pPr>
            <w:r>
              <w:t>0.03 ppm</w:t>
            </w:r>
          </w:p>
        </w:tc>
      </w:tr>
      <w:tr w:rsidR="002C5811" w:rsidTr="009E1D0A">
        <w:tc>
          <w:tcPr>
            <w:tcW w:w="3933" w:type="dxa"/>
          </w:tcPr>
          <w:p w:rsidR="002C5811" w:rsidRDefault="005502D6">
            <w:pPr>
              <w:pBdr>
                <w:top w:val="nil"/>
                <w:left w:val="nil"/>
                <w:bottom w:val="nil"/>
                <w:right w:val="nil"/>
                <w:between w:val="nil"/>
              </w:pBdr>
            </w:pPr>
            <w:r>
              <w:t xml:space="preserve">Gadolinium, </w:t>
            </w:r>
            <w:proofErr w:type="spellStart"/>
            <w:r>
              <w:t>Gd</w:t>
            </w:r>
            <w:proofErr w:type="spellEnd"/>
          </w:p>
        </w:tc>
        <w:tc>
          <w:tcPr>
            <w:tcW w:w="5426" w:type="dxa"/>
          </w:tcPr>
          <w:p w:rsidR="002C5811" w:rsidRDefault="005502D6">
            <w:pPr>
              <w:pBdr>
                <w:top w:val="nil"/>
                <w:left w:val="nil"/>
                <w:bottom w:val="nil"/>
                <w:right w:val="nil"/>
                <w:between w:val="nil"/>
              </w:pBdr>
            </w:pPr>
            <w:r>
              <w:t>0.05 ppm</w:t>
            </w:r>
          </w:p>
        </w:tc>
      </w:tr>
      <w:tr w:rsidR="002C5811" w:rsidTr="009E1D0A">
        <w:tc>
          <w:tcPr>
            <w:tcW w:w="3933" w:type="dxa"/>
          </w:tcPr>
          <w:p w:rsidR="002C5811" w:rsidRDefault="005502D6">
            <w:pPr>
              <w:pBdr>
                <w:top w:val="nil"/>
                <w:left w:val="nil"/>
                <w:bottom w:val="nil"/>
                <w:right w:val="nil"/>
                <w:between w:val="nil"/>
              </w:pBdr>
            </w:pPr>
            <w:r>
              <w:t>Holmium, Ho</w:t>
            </w:r>
          </w:p>
        </w:tc>
        <w:tc>
          <w:tcPr>
            <w:tcW w:w="5426" w:type="dxa"/>
          </w:tcPr>
          <w:p w:rsidR="002C5811" w:rsidRDefault="005502D6">
            <w:pPr>
              <w:pBdr>
                <w:top w:val="nil"/>
                <w:left w:val="nil"/>
                <w:bottom w:val="nil"/>
                <w:right w:val="nil"/>
                <w:between w:val="nil"/>
              </w:pBdr>
            </w:pPr>
            <w:r>
              <w:t>0.01 ppm</w:t>
            </w:r>
          </w:p>
        </w:tc>
      </w:tr>
      <w:tr w:rsidR="002C5811" w:rsidTr="009E1D0A">
        <w:tc>
          <w:tcPr>
            <w:tcW w:w="3933" w:type="dxa"/>
          </w:tcPr>
          <w:p w:rsidR="002C5811" w:rsidRDefault="005502D6">
            <w:pPr>
              <w:pBdr>
                <w:top w:val="nil"/>
                <w:left w:val="nil"/>
                <w:bottom w:val="nil"/>
                <w:right w:val="nil"/>
                <w:between w:val="nil"/>
              </w:pBdr>
            </w:pPr>
            <w:r>
              <w:t>Lanthanum, La</w:t>
            </w:r>
          </w:p>
        </w:tc>
        <w:tc>
          <w:tcPr>
            <w:tcW w:w="5426" w:type="dxa"/>
          </w:tcPr>
          <w:p w:rsidR="002C5811" w:rsidRDefault="005502D6">
            <w:pPr>
              <w:pBdr>
                <w:top w:val="nil"/>
                <w:left w:val="nil"/>
                <w:bottom w:val="nil"/>
                <w:right w:val="nil"/>
                <w:between w:val="nil"/>
              </w:pBdr>
            </w:pPr>
            <w:r>
              <w:t>0.5 ppm</w:t>
            </w:r>
          </w:p>
        </w:tc>
        <w:bookmarkStart w:id="2" w:name="_GoBack"/>
        <w:bookmarkEnd w:id="2"/>
      </w:tr>
      <w:tr w:rsidR="002C5811" w:rsidTr="009E1D0A">
        <w:tc>
          <w:tcPr>
            <w:tcW w:w="3933" w:type="dxa"/>
          </w:tcPr>
          <w:p w:rsidR="002C5811" w:rsidRDefault="005502D6">
            <w:pPr>
              <w:pBdr>
                <w:top w:val="nil"/>
                <w:left w:val="nil"/>
                <w:bottom w:val="nil"/>
                <w:right w:val="nil"/>
                <w:between w:val="nil"/>
              </w:pBdr>
            </w:pPr>
            <w:r>
              <w:t>Lutetium, Lu</w:t>
            </w:r>
          </w:p>
        </w:tc>
        <w:tc>
          <w:tcPr>
            <w:tcW w:w="5426" w:type="dxa"/>
          </w:tcPr>
          <w:p w:rsidR="002C5811" w:rsidRDefault="005502D6">
            <w:pPr>
              <w:pBdr>
                <w:top w:val="nil"/>
                <w:left w:val="nil"/>
                <w:bottom w:val="nil"/>
                <w:right w:val="nil"/>
                <w:between w:val="nil"/>
              </w:pBdr>
            </w:pPr>
            <w:r>
              <w:t>0.01 ppm</w:t>
            </w:r>
          </w:p>
        </w:tc>
      </w:tr>
      <w:tr w:rsidR="002C5811" w:rsidTr="009E1D0A">
        <w:tc>
          <w:tcPr>
            <w:tcW w:w="3933" w:type="dxa"/>
          </w:tcPr>
          <w:p w:rsidR="002C5811" w:rsidRDefault="005502D6">
            <w:pPr>
              <w:pBdr>
                <w:top w:val="nil"/>
                <w:left w:val="nil"/>
                <w:bottom w:val="nil"/>
                <w:right w:val="nil"/>
                <w:between w:val="nil"/>
              </w:pBdr>
            </w:pPr>
            <w:r>
              <w:t>Neodymium, N</w:t>
            </w:r>
          </w:p>
        </w:tc>
        <w:tc>
          <w:tcPr>
            <w:tcW w:w="5426" w:type="dxa"/>
          </w:tcPr>
          <w:p w:rsidR="002C5811" w:rsidRDefault="005502D6">
            <w:pPr>
              <w:pBdr>
                <w:top w:val="nil"/>
                <w:left w:val="nil"/>
                <w:bottom w:val="nil"/>
                <w:right w:val="nil"/>
                <w:between w:val="nil"/>
              </w:pBdr>
            </w:pPr>
            <w:r>
              <w:t>0.1 ppm</w:t>
            </w:r>
          </w:p>
        </w:tc>
      </w:tr>
      <w:tr w:rsidR="002C5811" w:rsidTr="009E1D0A">
        <w:tc>
          <w:tcPr>
            <w:tcW w:w="3933" w:type="dxa"/>
          </w:tcPr>
          <w:p w:rsidR="002C5811" w:rsidRDefault="005502D6">
            <w:pPr>
              <w:pBdr>
                <w:top w:val="nil"/>
                <w:left w:val="nil"/>
                <w:bottom w:val="nil"/>
                <w:right w:val="nil"/>
                <w:between w:val="nil"/>
              </w:pBdr>
            </w:pPr>
            <w:r>
              <w:lastRenderedPageBreak/>
              <w:t xml:space="preserve">Praseodymium, </w:t>
            </w:r>
            <w:proofErr w:type="spellStart"/>
            <w:r>
              <w:t>Pr</w:t>
            </w:r>
            <w:proofErr w:type="spellEnd"/>
          </w:p>
        </w:tc>
        <w:tc>
          <w:tcPr>
            <w:tcW w:w="5426" w:type="dxa"/>
          </w:tcPr>
          <w:p w:rsidR="002C5811" w:rsidRDefault="005502D6">
            <w:pPr>
              <w:pBdr>
                <w:top w:val="nil"/>
                <w:left w:val="nil"/>
                <w:bottom w:val="nil"/>
                <w:right w:val="nil"/>
                <w:between w:val="nil"/>
              </w:pBdr>
            </w:pPr>
            <w:r>
              <w:t>0.03 ppm</w:t>
            </w:r>
          </w:p>
        </w:tc>
      </w:tr>
      <w:tr w:rsidR="002C5811" w:rsidTr="009E1D0A">
        <w:tc>
          <w:tcPr>
            <w:tcW w:w="3933" w:type="dxa"/>
          </w:tcPr>
          <w:p w:rsidR="002C5811" w:rsidRDefault="005502D6">
            <w:pPr>
              <w:pBdr>
                <w:top w:val="nil"/>
                <w:left w:val="nil"/>
                <w:bottom w:val="nil"/>
                <w:right w:val="nil"/>
                <w:between w:val="nil"/>
              </w:pBdr>
            </w:pPr>
            <w:r>
              <w:t xml:space="preserve">Samarium, </w:t>
            </w:r>
            <w:proofErr w:type="spellStart"/>
            <w:r>
              <w:t>Sm</w:t>
            </w:r>
            <w:proofErr w:type="spellEnd"/>
          </w:p>
        </w:tc>
        <w:tc>
          <w:tcPr>
            <w:tcW w:w="5426" w:type="dxa"/>
          </w:tcPr>
          <w:p w:rsidR="002C5811" w:rsidRDefault="005502D6">
            <w:pPr>
              <w:pBdr>
                <w:top w:val="nil"/>
                <w:left w:val="nil"/>
                <w:bottom w:val="nil"/>
                <w:right w:val="nil"/>
                <w:between w:val="nil"/>
              </w:pBdr>
            </w:pPr>
            <w:r>
              <w:t>0.03 ppm</w:t>
            </w:r>
          </w:p>
        </w:tc>
      </w:tr>
      <w:tr w:rsidR="002C5811" w:rsidTr="009E1D0A">
        <w:tc>
          <w:tcPr>
            <w:tcW w:w="3933" w:type="dxa"/>
          </w:tcPr>
          <w:p w:rsidR="002C5811" w:rsidRDefault="005502D6">
            <w:pPr>
              <w:pBdr>
                <w:top w:val="nil"/>
                <w:left w:val="nil"/>
                <w:bottom w:val="nil"/>
                <w:right w:val="nil"/>
                <w:between w:val="nil"/>
              </w:pBdr>
            </w:pPr>
            <w:r>
              <w:t>Terbium, Tb</w:t>
            </w:r>
          </w:p>
        </w:tc>
        <w:tc>
          <w:tcPr>
            <w:tcW w:w="5426" w:type="dxa"/>
          </w:tcPr>
          <w:p w:rsidR="002C5811" w:rsidRDefault="005502D6">
            <w:pPr>
              <w:pBdr>
                <w:top w:val="nil"/>
                <w:left w:val="nil"/>
                <w:bottom w:val="nil"/>
                <w:right w:val="nil"/>
                <w:between w:val="nil"/>
              </w:pBdr>
            </w:pPr>
            <w:r>
              <w:t>0.01 ppm</w:t>
            </w:r>
          </w:p>
        </w:tc>
      </w:tr>
      <w:tr w:rsidR="002C5811" w:rsidTr="009E1D0A">
        <w:tc>
          <w:tcPr>
            <w:tcW w:w="3933" w:type="dxa"/>
          </w:tcPr>
          <w:p w:rsidR="002C5811" w:rsidRDefault="005502D6">
            <w:pPr>
              <w:pBdr>
                <w:top w:val="nil"/>
                <w:left w:val="nil"/>
                <w:bottom w:val="nil"/>
                <w:right w:val="nil"/>
                <w:between w:val="nil"/>
              </w:pBdr>
            </w:pPr>
            <w:r>
              <w:t>Uranium, U</w:t>
            </w:r>
          </w:p>
        </w:tc>
        <w:tc>
          <w:tcPr>
            <w:tcW w:w="5426" w:type="dxa"/>
          </w:tcPr>
          <w:p w:rsidR="002C5811" w:rsidRDefault="005502D6">
            <w:pPr>
              <w:pBdr>
                <w:top w:val="nil"/>
                <w:left w:val="nil"/>
                <w:bottom w:val="nil"/>
                <w:right w:val="nil"/>
                <w:between w:val="nil"/>
              </w:pBdr>
            </w:pPr>
            <w:r>
              <w:t>0.05 ppm</w:t>
            </w:r>
          </w:p>
        </w:tc>
      </w:tr>
      <w:tr w:rsidR="002C5811" w:rsidTr="009E1D0A">
        <w:tc>
          <w:tcPr>
            <w:tcW w:w="3933" w:type="dxa"/>
          </w:tcPr>
          <w:p w:rsidR="002C5811" w:rsidRDefault="005502D6">
            <w:pPr>
              <w:pBdr>
                <w:top w:val="nil"/>
                <w:left w:val="nil"/>
                <w:bottom w:val="nil"/>
                <w:right w:val="nil"/>
                <w:between w:val="nil"/>
              </w:pBdr>
            </w:pPr>
            <w:r>
              <w:t>Yttrium, Y</w:t>
            </w:r>
          </w:p>
        </w:tc>
        <w:tc>
          <w:tcPr>
            <w:tcW w:w="5426" w:type="dxa"/>
          </w:tcPr>
          <w:p w:rsidR="002C5811" w:rsidRDefault="005502D6">
            <w:pPr>
              <w:pBdr>
                <w:top w:val="nil"/>
                <w:left w:val="nil"/>
                <w:bottom w:val="nil"/>
                <w:right w:val="nil"/>
                <w:between w:val="nil"/>
              </w:pBdr>
            </w:pPr>
            <w:r>
              <w:t>0.5 ppm</w:t>
            </w:r>
          </w:p>
        </w:tc>
      </w:tr>
      <w:tr w:rsidR="002C5811" w:rsidTr="009E1D0A">
        <w:tc>
          <w:tcPr>
            <w:tcW w:w="3933" w:type="dxa"/>
          </w:tcPr>
          <w:p w:rsidR="002C5811" w:rsidRDefault="005502D6">
            <w:pPr>
              <w:pBdr>
                <w:top w:val="nil"/>
                <w:left w:val="nil"/>
                <w:bottom w:val="nil"/>
                <w:right w:val="nil"/>
                <w:between w:val="nil"/>
              </w:pBdr>
            </w:pPr>
            <w:r>
              <w:t xml:space="preserve">Ytterbium, </w:t>
            </w:r>
            <w:proofErr w:type="spellStart"/>
            <w:r>
              <w:t>Yb</w:t>
            </w:r>
            <w:proofErr w:type="spellEnd"/>
          </w:p>
        </w:tc>
        <w:tc>
          <w:tcPr>
            <w:tcW w:w="5426" w:type="dxa"/>
          </w:tcPr>
          <w:p w:rsidR="002C5811" w:rsidRDefault="005502D6">
            <w:pPr>
              <w:pBdr>
                <w:top w:val="nil"/>
                <w:left w:val="nil"/>
                <w:bottom w:val="nil"/>
                <w:right w:val="nil"/>
                <w:between w:val="nil"/>
              </w:pBdr>
            </w:pPr>
            <w:r>
              <w:t>0.03 ppm</w:t>
            </w:r>
          </w:p>
        </w:tc>
      </w:tr>
    </w:tbl>
    <w:p w:rsidR="009E1D0A" w:rsidRDefault="009E1D0A">
      <w:pPr>
        <w:pBdr>
          <w:top w:val="nil"/>
          <w:left w:val="nil"/>
          <w:bottom w:val="nil"/>
          <w:right w:val="nil"/>
          <w:between w:val="nil"/>
        </w:pBdr>
        <w:rPr>
          <w:rFonts w:ascii="Verdana" w:eastAsia="Verdana" w:hAnsi="Verdana" w:cs="Verdana"/>
        </w:rPr>
      </w:pPr>
    </w:p>
    <w:p w:rsidR="002C5811" w:rsidRDefault="005502D6">
      <w:pPr>
        <w:pBdr>
          <w:top w:val="nil"/>
          <w:left w:val="nil"/>
          <w:bottom w:val="nil"/>
          <w:right w:val="nil"/>
          <w:between w:val="nil"/>
        </w:pBdr>
      </w:pPr>
      <w:r>
        <w:rPr>
          <w:b/>
        </w:rPr>
        <w:t>Note:</w:t>
      </w:r>
      <w:r>
        <w:t xml:space="preserve"> For samples containing high levels of barium and sulfur, there will be precipitation of barium sulphate. Samples should be allowed to settle, before the aliquot is extracted for measurement. A note will be attached to the analytical report to indicate that Ba results are low due to precipitation of BaSO4.</w:t>
      </w:r>
    </w:p>
    <w:p w:rsidR="002C5811" w:rsidRPr="009E1D0A" w:rsidRDefault="005502D6" w:rsidP="009E1D0A">
      <w:pPr>
        <w:pStyle w:val="Heading2"/>
      </w:pPr>
      <w:bookmarkStart w:id="3" w:name="_q73p28qbwabv" w:colFirst="0" w:colLast="0"/>
      <w:bookmarkEnd w:id="3"/>
      <w:r w:rsidRPr="009E1D0A">
        <w:t>Analytical Performance</w:t>
      </w:r>
    </w:p>
    <w:p w:rsidR="002C5811" w:rsidRDefault="005502D6">
      <w:pPr>
        <w:pBdr>
          <w:top w:val="nil"/>
          <w:left w:val="nil"/>
          <w:bottom w:val="nil"/>
          <w:right w:val="nil"/>
          <w:between w:val="nil"/>
        </w:pBdr>
      </w:pPr>
      <w:r>
        <w:t>Data will be deemed acceptable if recovery of each element is ±15% at five times the Lower Limit of Determination (LOD) and the calculated Relative Standard Deviation (RSD) of duplicate samples is no greater than 15%.</w:t>
      </w:r>
    </w:p>
    <w:p w:rsidR="002C5811" w:rsidRDefault="002C5811">
      <w:pPr>
        <w:pBdr>
          <w:top w:val="nil"/>
          <w:left w:val="nil"/>
          <w:bottom w:val="nil"/>
          <w:right w:val="nil"/>
          <w:between w:val="nil"/>
        </w:pBdr>
      </w:pPr>
    </w:p>
    <w:p w:rsidR="002C5811" w:rsidRDefault="002C5811">
      <w:pPr>
        <w:pBdr>
          <w:top w:val="nil"/>
          <w:left w:val="nil"/>
          <w:bottom w:val="nil"/>
          <w:right w:val="nil"/>
          <w:between w:val="nil"/>
        </w:pBdr>
      </w:pPr>
    </w:p>
    <w:sectPr w:rsidR="002C58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11"/>
    <w:rsid w:val="00187282"/>
    <w:rsid w:val="002C5811"/>
    <w:rsid w:val="005502D6"/>
    <w:rsid w:val="009E1D0A"/>
    <w:rsid w:val="00E7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79C6"/>
  <w15:docId w15:val="{2DF3D4A3-A7E0-4FC9-BFAD-4DF24107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GridTable1Light">
    <w:name w:val="Grid Table 1 Light"/>
    <w:basedOn w:val="TableNormal"/>
    <w:uiPriority w:val="46"/>
    <w:rsid w:val="009E1D0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 Maria R.</cp:lastModifiedBy>
  <cp:revision>2</cp:revision>
  <dcterms:created xsi:type="dcterms:W3CDTF">2020-02-11T03:59:00Z</dcterms:created>
  <dcterms:modified xsi:type="dcterms:W3CDTF">2020-02-11T03:59:00Z</dcterms:modified>
</cp:coreProperties>
</file>