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55F" w:rsidRPr="005C6F91" w:rsidRDefault="003367C2" w:rsidP="005C6F91">
      <w:pPr>
        <w:pStyle w:val="Heading1"/>
      </w:pPr>
      <w:bookmarkStart w:id="0" w:name="_kefbdtoy942n" w:colFirst="0" w:colLast="0"/>
      <w:bookmarkEnd w:id="0"/>
      <w:r w:rsidRPr="005C6F91">
        <w:t>Method 22 – Platinum Group Elements by Nickel Sulfide Fire Assay and Instrumental Neutron Activation Analysis (INAA)</w:t>
      </w:r>
    </w:p>
    <w:p w:rsidR="00F7755F" w:rsidRPr="005C6F91" w:rsidRDefault="003367C2">
      <w:pPr>
        <w:pBdr>
          <w:top w:val="nil"/>
          <w:left w:val="nil"/>
          <w:bottom w:val="nil"/>
          <w:right w:val="nil"/>
          <w:between w:val="nil"/>
        </w:pBdr>
        <w:rPr>
          <w:b/>
        </w:rPr>
      </w:pPr>
      <w:r w:rsidRPr="005C6F91">
        <w:rPr>
          <w:b/>
        </w:rPr>
        <w:t>Sample Weight: 50 g</w:t>
      </w:r>
    </w:p>
    <w:p w:rsidR="00F7755F" w:rsidRPr="005C6F91" w:rsidRDefault="003367C2" w:rsidP="005C6F91">
      <w:pPr>
        <w:pStyle w:val="Heading2"/>
      </w:pPr>
      <w:bookmarkStart w:id="1" w:name="_d29uwfm07w08" w:colFirst="0" w:colLast="0"/>
      <w:bookmarkEnd w:id="1"/>
      <w:r w:rsidRPr="005C6F91">
        <w:t>Summary</w:t>
      </w:r>
    </w:p>
    <w:p w:rsidR="00F7755F" w:rsidRDefault="003367C2">
      <w:pPr>
        <w:pBdr>
          <w:top w:val="nil"/>
          <w:left w:val="nil"/>
          <w:bottom w:val="nil"/>
          <w:right w:val="nil"/>
          <w:between w:val="nil"/>
        </w:pBdr>
      </w:pPr>
      <w:r>
        <w:t>The sample is mixed with nickel and sulfur to collect the suite of Platinum Group Elements (PGEs).  Fluxing agents are added to assist with melting and promote separation from waste (gangue) materials. After cooling, the gangue is separated and discarded as a glassy slag from the PGE-containing nickel sulfide button. This button is dissolved in concentrated hydrochloric acid, co-precipitated with tellurium and filtered. The residue is then analyzed by INAA.</w:t>
      </w:r>
    </w:p>
    <w:p w:rsidR="00F7755F" w:rsidRPr="005C6F91" w:rsidRDefault="003367C2" w:rsidP="005C6F91">
      <w:pPr>
        <w:pStyle w:val="Heading2"/>
      </w:pPr>
      <w:bookmarkStart w:id="2" w:name="_dyuo3d941gl5" w:colFirst="0" w:colLast="0"/>
      <w:bookmarkEnd w:id="2"/>
      <w:r w:rsidRPr="005C6F91">
        <w:t xml:space="preserve">Method 22 </w:t>
      </w:r>
      <w:r w:rsidRPr="005C6F91">
        <w:rPr>
          <w:highlight w:val="white"/>
        </w:rPr>
        <w:t>Elements and Reporting Limits</w:t>
      </w:r>
    </w:p>
    <w:tbl>
      <w:tblPr>
        <w:tblStyle w:val="GridTable1Light"/>
        <w:tblW w:w="9009" w:type="dxa"/>
        <w:tblLayout w:type="fixed"/>
        <w:tblCellMar>
          <w:top w:w="115" w:type="dxa"/>
          <w:left w:w="115" w:type="dxa"/>
          <w:bottom w:w="115" w:type="dxa"/>
          <w:right w:w="115" w:type="dxa"/>
        </w:tblCellMar>
        <w:tblLook w:val="0620" w:firstRow="1" w:lastRow="0" w:firstColumn="0" w:lastColumn="0" w:noHBand="1" w:noVBand="1"/>
      </w:tblPr>
      <w:tblGrid>
        <w:gridCol w:w="2970"/>
        <w:gridCol w:w="2520"/>
        <w:gridCol w:w="3519"/>
      </w:tblGrid>
      <w:tr w:rsidR="00F7755F" w:rsidTr="00757845">
        <w:trPr>
          <w:cnfStyle w:val="100000000000" w:firstRow="1" w:lastRow="0" w:firstColumn="0" w:lastColumn="0" w:oddVBand="0" w:evenVBand="0" w:oddHBand="0" w:evenHBand="0" w:firstRowFirstColumn="0" w:firstRowLastColumn="0" w:lastRowFirstColumn="0" w:lastRowLastColumn="0"/>
        </w:trPr>
        <w:tc>
          <w:tcPr>
            <w:tcW w:w="2970" w:type="dxa"/>
            <w:vAlign w:val="center"/>
          </w:tcPr>
          <w:p w:rsidR="00F7755F" w:rsidRDefault="003367C2" w:rsidP="00757845">
            <w:pPr>
              <w:pBdr>
                <w:top w:val="nil"/>
                <w:left w:val="nil"/>
                <w:bottom w:val="nil"/>
                <w:right w:val="nil"/>
                <w:between w:val="nil"/>
              </w:pBdr>
            </w:pPr>
            <w:r>
              <w:t xml:space="preserve">Element </w:t>
            </w:r>
          </w:p>
        </w:tc>
        <w:tc>
          <w:tcPr>
            <w:tcW w:w="2520" w:type="dxa"/>
            <w:vAlign w:val="center"/>
          </w:tcPr>
          <w:p w:rsidR="00F7755F" w:rsidRDefault="003367C2" w:rsidP="00757845">
            <w:pPr>
              <w:pBdr>
                <w:top w:val="nil"/>
                <w:left w:val="nil"/>
                <w:bottom w:val="nil"/>
                <w:right w:val="nil"/>
                <w:between w:val="nil"/>
              </w:pBdr>
            </w:pPr>
            <w:r>
              <w:t>Concentration (low)</w:t>
            </w:r>
          </w:p>
        </w:tc>
        <w:tc>
          <w:tcPr>
            <w:tcW w:w="3519" w:type="dxa"/>
            <w:vAlign w:val="center"/>
          </w:tcPr>
          <w:p w:rsidR="00F7755F" w:rsidRDefault="003367C2" w:rsidP="00757845">
            <w:pPr>
              <w:pBdr>
                <w:top w:val="nil"/>
                <w:left w:val="nil"/>
                <w:bottom w:val="nil"/>
                <w:right w:val="nil"/>
                <w:between w:val="nil"/>
              </w:pBdr>
            </w:pPr>
            <w:r>
              <w:t>Concentration (high)</w:t>
            </w:r>
          </w:p>
        </w:tc>
      </w:tr>
      <w:tr w:rsidR="00F7755F" w:rsidTr="00757845">
        <w:tc>
          <w:tcPr>
            <w:tcW w:w="2970" w:type="dxa"/>
            <w:vAlign w:val="center"/>
          </w:tcPr>
          <w:p w:rsidR="00F7755F" w:rsidRDefault="003367C2" w:rsidP="00757845">
            <w:pPr>
              <w:pBdr>
                <w:top w:val="nil"/>
                <w:left w:val="nil"/>
                <w:bottom w:val="nil"/>
                <w:right w:val="nil"/>
                <w:between w:val="nil"/>
              </w:pBdr>
            </w:pPr>
            <w:proofErr w:type="spellStart"/>
            <w:r>
              <w:t>Ir</w:t>
            </w:r>
            <w:proofErr w:type="spellEnd"/>
            <w:r>
              <w:t>, Iridium</w:t>
            </w:r>
          </w:p>
        </w:tc>
        <w:tc>
          <w:tcPr>
            <w:tcW w:w="2520" w:type="dxa"/>
            <w:vAlign w:val="center"/>
          </w:tcPr>
          <w:p w:rsidR="00F7755F" w:rsidRDefault="003367C2" w:rsidP="00757845">
            <w:pPr>
              <w:pBdr>
                <w:top w:val="nil"/>
                <w:left w:val="nil"/>
                <w:bottom w:val="nil"/>
                <w:right w:val="nil"/>
                <w:between w:val="nil"/>
              </w:pBdr>
            </w:pPr>
            <w:r>
              <w:t>1 ppb</w:t>
            </w:r>
          </w:p>
        </w:tc>
        <w:tc>
          <w:tcPr>
            <w:tcW w:w="3519" w:type="dxa"/>
            <w:vAlign w:val="center"/>
          </w:tcPr>
          <w:p w:rsidR="00F7755F" w:rsidRDefault="003367C2" w:rsidP="00757845">
            <w:pPr>
              <w:pBdr>
                <w:top w:val="nil"/>
                <w:left w:val="nil"/>
                <w:bottom w:val="nil"/>
                <w:right w:val="nil"/>
                <w:between w:val="nil"/>
              </w:pBdr>
            </w:pPr>
            <w:r>
              <w:t>1,000 ppb</w:t>
            </w:r>
          </w:p>
        </w:tc>
      </w:tr>
      <w:tr w:rsidR="00F7755F" w:rsidTr="00757845">
        <w:tc>
          <w:tcPr>
            <w:tcW w:w="2970" w:type="dxa"/>
            <w:vAlign w:val="center"/>
          </w:tcPr>
          <w:p w:rsidR="00F7755F" w:rsidRDefault="003367C2" w:rsidP="00757845">
            <w:pPr>
              <w:pBdr>
                <w:top w:val="nil"/>
                <w:left w:val="nil"/>
                <w:bottom w:val="nil"/>
                <w:right w:val="nil"/>
                <w:between w:val="nil"/>
              </w:pBdr>
            </w:pPr>
            <w:proofErr w:type="spellStart"/>
            <w:r>
              <w:t>Os</w:t>
            </w:r>
            <w:proofErr w:type="spellEnd"/>
            <w:r>
              <w:t>, Osmium</w:t>
            </w:r>
          </w:p>
        </w:tc>
        <w:tc>
          <w:tcPr>
            <w:tcW w:w="2520" w:type="dxa"/>
            <w:vAlign w:val="center"/>
          </w:tcPr>
          <w:p w:rsidR="00F7755F" w:rsidRDefault="003367C2" w:rsidP="00757845">
            <w:pPr>
              <w:pBdr>
                <w:top w:val="nil"/>
                <w:left w:val="nil"/>
                <w:bottom w:val="nil"/>
                <w:right w:val="nil"/>
                <w:between w:val="nil"/>
              </w:pBdr>
            </w:pPr>
            <w:r>
              <w:t>10 ppb</w:t>
            </w:r>
          </w:p>
        </w:tc>
        <w:tc>
          <w:tcPr>
            <w:tcW w:w="3519" w:type="dxa"/>
            <w:vAlign w:val="center"/>
          </w:tcPr>
          <w:p w:rsidR="00F7755F" w:rsidRDefault="003367C2" w:rsidP="00757845">
            <w:pPr>
              <w:pBdr>
                <w:top w:val="nil"/>
                <w:left w:val="nil"/>
                <w:bottom w:val="nil"/>
                <w:right w:val="nil"/>
                <w:between w:val="nil"/>
              </w:pBdr>
            </w:pPr>
            <w:r>
              <w:t>1,000 ppb</w:t>
            </w:r>
          </w:p>
        </w:tc>
      </w:tr>
      <w:tr w:rsidR="00F7755F" w:rsidTr="00757845">
        <w:tc>
          <w:tcPr>
            <w:tcW w:w="2970" w:type="dxa"/>
            <w:vAlign w:val="center"/>
          </w:tcPr>
          <w:p w:rsidR="00F7755F" w:rsidRDefault="003367C2" w:rsidP="00757845">
            <w:pPr>
              <w:pBdr>
                <w:top w:val="nil"/>
                <w:left w:val="nil"/>
                <w:bottom w:val="nil"/>
                <w:right w:val="nil"/>
                <w:between w:val="nil"/>
              </w:pBdr>
            </w:pPr>
            <w:r>
              <w:t>Pd, Palladium</w:t>
            </w:r>
          </w:p>
        </w:tc>
        <w:tc>
          <w:tcPr>
            <w:tcW w:w="2520" w:type="dxa"/>
            <w:vAlign w:val="center"/>
          </w:tcPr>
          <w:p w:rsidR="00F7755F" w:rsidRDefault="003367C2" w:rsidP="00757845">
            <w:pPr>
              <w:pBdr>
                <w:top w:val="nil"/>
                <w:left w:val="nil"/>
                <w:bottom w:val="nil"/>
                <w:right w:val="nil"/>
                <w:between w:val="nil"/>
              </w:pBdr>
            </w:pPr>
            <w:r>
              <w:t>1 ppb</w:t>
            </w:r>
          </w:p>
        </w:tc>
        <w:tc>
          <w:tcPr>
            <w:tcW w:w="3519" w:type="dxa"/>
            <w:vAlign w:val="center"/>
          </w:tcPr>
          <w:p w:rsidR="00F7755F" w:rsidRDefault="003367C2" w:rsidP="00757845">
            <w:pPr>
              <w:pBdr>
                <w:top w:val="nil"/>
                <w:left w:val="nil"/>
                <w:bottom w:val="nil"/>
                <w:right w:val="nil"/>
                <w:between w:val="nil"/>
              </w:pBdr>
            </w:pPr>
            <w:r>
              <w:t>10,000 ppb</w:t>
            </w:r>
          </w:p>
        </w:tc>
      </w:tr>
      <w:tr w:rsidR="00F7755F" w:rsidTr="00757845">
        <w:tc>
          <w:tcPr>
            <w:tcW w:w="2970" w:type="dxa"/>
            <w:vAlign w:val="center"/>
          </w:tcPr>
          <w:p w:rsidR="00F7755F" w:rsidRDefault="003367C2" w:rsidP="00757845">
            <w:pPr>
              <w:pBdr>
                <w:top w:val="nil"/>
                <w:left w:val="nil"/>
                <w:bottom w:val="nil"/>
                <w:right w:val="nil"/>
                <w:between w:val="nil"/>
              </w:pBdr>
            </w:pPr>
            <w:r>
              <w:t>Pt, Platinum</w:t>
            </w:r>
          </w:p>
        </w:tc>
        <w:tc>
          <w:tcPr>
            <w:tcW w:w="2520" w:type="dxa"/>
            <w:vAlign w:val="center"/>
          </w:tcPr>
          <w:p w:rsidR="00F7755F" w:rsidRDefault="003367C2" w:rsidP="00757845">
            <w:pPr>
              <w:pBdr>
                <w:top w:val="nil"/>
                <w:left w:val="nil"/>
                <w:bottom w:val="nil"/>
                <w:right w:val="nil"/>
                <w:between w:val="nil"/>
              </w:pBdr>
            </w:pPr>
            <w:r>
              <w:t>1 ppb</w:t>
            </w:r>
          </w:p>
        </w:tc>
        <w:tc>
          <w:tcPr>
            <w:tcW w:w="3519" w:type="dxa"/>
            <w:vAlign w:val="center"/>
          </w:tcPr>
          <w:p w:rsidR="00F7755F" w:rsidRDefault="003367C2" w:rsidP="00757845">
            <w:pPr>
              <w:pBdr>
                <w:top w:val="nil"/>
                <w:left w:val="nil"/>
                <w:bottom w:val="nil"/>
                <w:right w:val="nil"/>
                <w:between w:val="nil"/>
              </w:pBdr>
            </w:pPr>
            <w:r>
              <w:t>10,000 ppb</w:t>
            </w:r>
          </w:p>
        </w:tc>
      </w:tr>
      <w:tr w:rsidR="00F7755F" w:rsidTr="00757845">
        <w:tc>
          <w:tcPr>
            <w:tcW w:w="2970" w:type="dxa"/>
            <w:vAlign w:val="center"/>
          </w:tcPr>
          <w:p w:rsidR="00F7755F" w:rsidRDefault="003367C2" w:rsidP="00757845">
            <w:pPr>
              <w:pBdr>
                <w:top w:val="nil"/>
                <w:left w:val="nil"/>
                <w:bottom w:val="nil"/>
                <w:right w:val="nil"/>
                <w:between w:val="nil"/>
              </w:pBdr>
            </w:pPr>
            <w:r>
              <w:t>Rh, Rhodium</w:t>
            </w:r>
          </w:p>
        </w:tc>
        <w:tc>
          <w:tcPr>
            <w:tcW w:w="2520" w:type="dxa"/>
            <w:vAlign w:val="center"/>
          </w:tcPr>
          <w:p w:rsidR="00F7755F" w:rsidRDefault="003367C2" w:rsidP="00757845">
            <w:pPr>
              <w:pBdr>
                <w:top w:val="nil"/>
                <w:left w:val="nil"/>
                <w:bottom w:val="nil"/>
                <w:right w:val="nil"/>
                <w:between w:val="nil"/>
              </w:pBdr>
            </w:pPr>
            <w:r>
              <w:t>1 ppb</w:t>
            </w:r>
          </w:p>
        </w:tc>
        <w:tc>
          <w:tcPr>
            <w:tcW w:w="3519" w:type="dxa"/>
            <w:vAlign w:val="center"/>
          </w:tcPr>
          <w:p w:rsidR="00F7755F" w:rsidRDefault="003367C2" w:rsidP="00757845">
            <w:pPr>
              <w:pBdr>
                <w:top w:val="nil"/>
                <w:left w:val="nil"/>
                <w:bottom w:val="nil"/>
                <w:right w:val="nil"/>
                <w:between w:val="nil"/>
              </w:pBdr>
            </w:pPr>
            <w:r>
              <w:t>1,000 ppb</w:t>
            </w:r>
          </w:p>
        </w:tc>
      </w:tr>
      <w:tr w:rsidR="00F7755F" w:rsidTr="00757845">
        <w:tc>
          <w:tcPr>
            <w:tcW w:w="2970" w:type="dxa"/>
            <w:vAlign w:val="center"/>
          </w:tcPr>
          <w:p w:rsidR="00F7755F" w:rsidRDefault="003367C2" w:rsidP="00757845">
            <w:pPr>
              <w:pBdr>
                <w:top w:val="nil"/>
                <w:left w:val="nil"/>
                <w:bottom w:val="nil"/>
                <w:right w:val="nil"/>
                <w:between w:val="nil"/>
              </w:pBdr>
            </w:pPr>
            <w:r>
              <w:t>Ru, Ruthenium</w:t>
            </w:r>
          </w:p>
        </w:tc>
        <w:tc>
          <w:tcPr>
            <w:tcW w:w="2520" w:type="dxa"/>
            <w:vAlign w:val="center"/>
          </w:tcPr>
          <w:p w:rsidR="00F7755F" w:rsidRDefault="003367C2" w:rsidP="00757845">
            <w:pPr>
              <w:pBdr>
                <w:top w:val="nil"/>
                <w:left w:val="nil"/>
                <w:bottom w:val="nil"/>
                <w:right w:val="nil"/>
                <w:between w:val="nil"/>
              </w:pBdr>
            </w:pPr>
            <w:r>
              <w:t>1 ppb</w:t>
            </w:r>
          </w:p>
        </w:tc>
        <w:tc>
          <w:tcPr>
            <w:tcW w:w="3519" w:type="dxa"/>
            <w:vAlign w:val="center"/>
          </w:tcPr>
          <w:p w:rsidR="00F7755F" w:rsidRDefault="003367C2" w:rsidP="00757845">
            <w:pPr>
              <w:pBdr>
                <w:top w:val="nil"/>
                <w:left w:val="nil"/>
                <w:bottom w:val="nil"/>
                <w:right w:val="nil"/>
                <w:between w:val="nil"/>
              </w:pBdr>
            </w:pPr>
            <w:r>
              <w:t>20,000 ppb</w:t>
            </w:r>
          </w:p>
        </w:tc>
      </w:tr>
    </w:tbl>
    <w:p w:rsidR="00F7755F" w:rsidRPr="0035741D" w:rsidRDefault="003367C2" w:rsidP="0035741D">
      <w:pPr>
        <w:pStyle w:val="Heading2"/>
      </w:pPr>
      <w:bookmarkStart w:id="3" w:name="_9m93zu5xzk3k" w:colFirst="0" w:colLast="0"/>
      <w:bookmarkEnd w:id="3"/>
      <w:r w:rsidRPr="0035741D">
        <w:t>Analytical Performance</w:t>
      </w:r>
      <w:bookmarkStart w:id="4" w:name="_GoBack"/>
      <w:bookmarkEnd w:id="4"/>
    </w:p>
    <w:p w:rsidR="00F7755F" w:rsidRDefault="003367C2">
      <w:pPr>
        <w:pBdr>
          <w:top w:val="nil"/>
          <w:left w:val="nil"/>
          <w:bottom w:val="nil"/>
          <w:right w:val="nil"/>
          <w:between w:val="nil"/>
        </w:pBdr>
      </w:pPr>
      <w:r>
        <w:t>Data will be deemed acceptable if recovery of each element is ±15% at five times the Lower Limit of Determination (LOD) and the calculated Relative Standard Deviation (RSD) of duplicate samples is no greater than 15%.</w:t>
      </w:r>
    </w:p>
    <w:p w:rsidR="00F7755F" w:rsidRDefault="00F7755F">
      <w:pPr>
        <w:pBdr>
          <w:top w:val="nil"/>
          <w:left w:val="nil"/>
          <w:bottom w:val="nil"/>
          <w:right w:val="nil"/>
          <w:between w:val="nil"/>
        </w:pBdr>
      </w:pPr>
    </w:p>
    <w:p w:rsidR="00F7755F" w:rsidRDefault="00F7755F">
      <w:pPr>
        <w:pBdr>
          <w:top w:val="nil"/>
          <w:left w:val="nil"/>
          <w:bottom w:val="nil"/>
          <w:right w:val="nil"/>
          <w:between w:val="nil"/>
        </w:pBdr>
      </w:pPr>
    </w:p>
    <w:p w:rsidR="00F7755F" w:rsidRDefault="00F7755F">
      <w:pPr>
        <w:pBdr>
          <w:top w:val="nil"/>
          <w:left w:val="nil"/>
          <w:bottom w:val="nil"/>
          <w:right w:val="nil"/>
          <w:between w:val="nil"/>
        </w:pBdr>
      </w:pPr>
    </w:p>
    <w:sectPr w:rsidR="00F775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5F"/>
    <w:rsid w:val="00032E56"/>
    <w:rsid w:val="003367C2"/>
    <w:rsid w:val="0035741D"/>
    <w:rsid w:val="005C6F91"/>
    <w:rsid w:val="00757845"/>
    <w:rsid w:val="00F7755F"/>
    <w:rsid w:val="00FB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8B86F-7D8E-4CC9-8033-3B242F46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GridTable1Light">
    <w:name w:val="Grid Table 1 Light"/>
    <w:basedOn w:val="TableNormal"/>
    <w:uiPriority w:val="46"/>
    <w:rsid w:val="0075784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Montour, Maria R.</cp:lastModifiedBy>
  <cp:revision>3</cp:revision>
  <dcterms:created xsi:type="dcterms:W3CDTF">2020-02-11T01:36:00Z</dcterms:created>
  <dcterms:modified xsi:type="dcterms:W3CDTF">2020-02-11T01:40:00Z</dcterms:modified>
</cp:coreProperties>
</file>