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C98E" w14:textId="77777777" w:rsidR="00C64A58" w:rsidRDefault="00C64A58" w:rsidP="00C64A58">
      <w:pPr>
        <w:pStyle w:val="NormalWeb"/>
        <w:shd w:val="clear" w:color="auto" w:fill="FFFFFF" w:themeFill="background1"/>
        <w:spacing w:before="0" w:beforeAutospacing="0" w:after="150" w:afterAutospacing="0"/>
        <w:rPr>
          <w:rStyle w:val="Strong"/>
          <w:u w:val="single"/>
        </w:rPr>
      </w:pPr>
      <w:r w:rsidRPr="00344139">
        <w:rPr>
          <w:rStyle w:val="Strong"/>
          <w:u w:val="single"/>
        </w:rPr>
        <w:t xml:space="preserve">CHAPTER </w:t>
      </w:r>
      <w:r>
        <w:rPr>
          <w:rStyle w:val="Strong"/>
          <w:u w:val="single"/>
        </w:rPr>
        <w:t>5</w:t>
      </w:r>
    </w:p>
    <w:p w14:paraId="3ECB4CB7" w14:textId="77777777" w:rsidR="00C64A58" w:rsidRPr="003A0D9C" w:rsidRDefault="00C64A58" w:rsidP="00C64A58">
      <w:pPr>
        <w:pStyle w:val="NormalWeb"/>
        <w:shd w:val="clear" w:color="auto" w:fill="FFFFFF" w:themeFill="background1"/>
        <w:spacing w:before="0" w:beforeAutospacing="0" w:after="150" w:afterAutospacing="0"/>
        <w:rPr>
          <w:color w:val="171717"/>
        </w:rPr>
      </w:pPr>
    </w:p>
    <w:p w14:paraId="184AD356" w14:textId="77777777" w:rsidR="00C64A58" w:rsidRDefault="00C64A58" w:rsidP="00C64A58">
      <w:pPr>
        <w:pStyle w:val="NormalWeb"/>
        <w:shd w:val="clear" w:color="auto" w:fill="FFFFFF"/>
        <w:spacing w:before="0" w:beforeAutospacing="0" w:after="150" w:afterAutospacing="0"/>
        <w:rPr>
          <w:rStyle w:val="Strong"/>
          <w:b w:val="0"/>
          <w:bCs w:val="0"/>
          <w:color w:val="333333"/>
        </w:rPr>
      </w:pPr>
      <w:r>
        <w:rPr>
          <w:rStyle w:val="Strong"/>
          <w:color w:val="333333"/>
        </w:rPr>
        <w:t xml:space="preserve">Title: </w:t>
      </w:r>
      <w:r w:rsidRPr="003A0D9C">
        <w:rPr>
          <w:rStyle w:val="Strong"/>
          <w:b w:val="0"/>
          <w:bCs w:val="0"/>
          <w:color w:val="333333"/>
        </w:rPr>
        <w:t>Safety Program Evaluations</w:t>
      </w:r>
    </w:p>
    <w:p w14:paraId="099A4F54" w14:textId="77777777" w:rsidR="00C64A58" w:rsidRPr="003A0D9C" w:rsidRDefault="00C64A58" w:rsidP="00C64A58">
      <w:pPr>
        <w:pStyle w:val="NormalWeb"/>
        <w:shd w:val="clear" w:color="auto" w:fill="FFFFFF"/>
        <w:spacing w:before="0" w:beforeAutospacing="0" w:after="150" w:afterAutospacing="0"/>
        <w:rPr>
          <w:color w:val="333333"/>
        </w:rPr>
      </w:pPr>
      <w:r w:rsidRPr="003A0D9C">
        <w:rPr>
          <w:rStyle w:val="Strong"/>
          <w:color w:val="333333"/>
        </w:rPr>
        <w:t>Issuance</w:t>
      </w:r>
      <w:r>
        <w:rPr>
          <w:rStyle w:val="Strong"/>
          <w:b w:val="0"/>
          <w:bCs w:val="0"/>
          <w:color w:val="333333"/>
        </w:rPr>
        <w:t xml:space="preserve"> </w:t>
      </w:r>
      <w:r w:rsidRPr="00344139">
        <w:rPr>
          <w:b/>
          <w:bCs/>
          <w:color w:val="333333"/>
        </w:rPr>
        <w:t xml:space="preserve">Date: </w:t>
      </w:r>
      <w:r w:rsidRPr="003A0D9C">
        <w:rPr>
          <w:color w:val="333333"/>
        </w:rPr>
        <w:t>7/6/2022</w:t>
      </w:r>
    </w:p>
    <w:p w14:paraId="7FE20F1F" w14:textId="77777777" w:rsidR="00C64A58" w:rsidRDefault="00C64A58" w:rsidP="00C64A58">
      <w:pPr>
        <w:pStyle w:val="NormalWeb"/>
        <w:shd w:val="clear" w:color="auto" w:fill="FFFFFF"/>
        <w:spacing w:before="0" w:beforeAutospacing="0" w:after="150" w:afterAutospacing="0"/>
        <w:rPr>
          <w:rStyle w:val="Strong"/>
        </w:rPr>
      </w:pPr>
      <w:r w:rsidRPr="00B0492E">
        <w:rPr>
          <w:rStyle w:val="Strong"/>
          <w:color w:val="333333"/>
        </w:rPr>
        <w:t>Instruction</w:t>
      </w:r>
      <w:r w:rsidRPr="00AA3940">
        <w:rPr>
          <w:rStyle w:val="Strong"/>
          <w:color w:val="333333"/>
        </w:rPr>
        <w:t>:</w:t>
      </w:r>
      <w:r w:rsidRPr="00AA3940">
        <w:rPr>
          <w:color w:val="333333"/>
        </w:rPr>
        <w:t xml:space="preserve"> </w:t>
      </w:r>
      <w:r w:rsidRPr="00C13CFB">
        <w:rPr>
          <w:rStyle w:val="Strong"/>
          <w:b w:val="0"/>
          <w:bCs w:val="0"/>
        </w:rPr>
        <w:t>This chapter update includes organizational revisions which are already in place and removes responsibilities and policy self-assessment requirements that are already covered in other chapters.</w:t>
      </w:r>
    </w:p>
    <w:p w14:paraId="1E6B0EA7" w14:textId="77777777" w:rsidR="00C64A58" w:rsidRPr="003A0D9C" w:rsidRDefault="00C64A58" w:rsidP="00C64A58">
      <w:pPr>
        <w:pStyle w:val="NormalWeb"/>
        <w:shd w:val="clear" w:color="auto" w:fill="FFFFFF"/>
        <w:spacing w:before="0" w:beforeAutospacing="0" w:after="150" w:afterAutospacing="0"/>
        <w:rPr>
          <w:rStyle w:val="Strong"/>
          <w:b w:val="0"/>
          <w:bCs w:val="0"/>
          <w:color w:val="333333"/>
        </w:rPr>
      </w:pPr>
      <w:r>
        <w:rPr>
          <w:rStyle w:val="Strong"/>
        </w:rPr>
        <w:t xml:space="preserve">Approving Official: </w:t>
      </w:r>
      <w:r>
        <w:rPr>
          <w:rStyle w:val="Strong"/>
          <w:b w:val="0"/>
          <w:bCs w:val="0"/>
        </w:rPr>
        <w:t>Katherine M. McCulloch, Associate Director for Administration</w:t>
      </w:r>
    </w:p>
    <w:p w14:paraId="0C1DCFD9" w14:textId="77777777" w:rsidR="00C64A58" w:rsidRPr="00990436" w:rsidRDefault="00C64A58" w:rsidP="00C64A58">
      <w:pPr>
        <w:pStyle w:val="NormalWeb"/>
        <w:shd w:val="clear" w:color="auto" w:fill="FFFFFF"/>
        <w:spacing w:before="0" w:beforeAutospacing="0" w:after="150" w:afterAutospacing="0"/>
        <w:rPr>
          <w:color w:val="333333"/>
        </w:rPr>
      </w:pPr>
    </w:p>
    <w:p w14:paraId="6EBB6DA1" w14:textId="77777777" w:rsidR="00C64A58" w:rsidRDefault="00C64A58" w:rsidP="00C64A58">
      <w:pPr>
        <w:pStyle w:val="1stLevelPara123-Vs1"/>
        <w:numPr>
          <w:ilvl w:val="0"/>
          <w:numId w:val="4"/>
        </w:numPr>
      </w:pPr>
      <w:r w:rsidRPr="00990436">
        <w:rPr>
          <w:rStyle w:val="Strong"/>
          <w:color w:val="333333"/>
        </w:rPr>
        <w:t>Purpose</w:t>
      </w:r>
      <w:r>
        <w:rPr>
          <w:rStyle w:val="Strong"/>
          <w:color w:val="333333"/>
        </w:rPr>
        <w:t xml:space="preserve"> and </w:t>
      </w:r>
      <w:r w:rsidRPr="00990436">
        <w:rPr>
          <w:rStyle w:val="Strong"/>
          <w:color w:val="333333"/>
        </w:rPr>
        <w:t>Scope</w:t>
      </w:r>
      <w:r w:rsidRPr="00990436">
        <w:t xml:space="preserve">. </w:t>
      </w:r>
      <w:r>
        <w:t xml:space="preserve"> </w:t>
      </w:r>
      <w:r w:rsidRPr="00990436">
        <w:t xml:space="preserve">This chapter specifies minimum requirements for conducting evaluations of Occupational Safety and Health (OSH) Programs. </w:t>
      </w:r>
      <w:r>
        <w:t xml:space="preserve"> </w:t>
      </w:r>
      <w:r w:rsidRPr="00990436">
        <w:t xml:space="preserve">The U.S. Geological Survey (USGS) is required by Title 29 of the Code of Federal Regulations (CFR) Part 1960.78 to develop and implement a process for evaluating the effectiveness of the OSH Program. </w:t>
      </w:r>
      <w:r>
        <w:t xml:space="preserve"> This chapter applies to all employees engaged in applicable OSH activities.</w:t>
      </w:r>
    </w:p>
    <w:p w14:paraId="2769A35D" w14:textId="77777777" w:rsidR="00C64A58" w:rsidRPr="00990436" w:rsidRDefault="00C64A58" w:rsidP="00C64A58">
      <w:pPr>
        <w:pStyle w:val="1stLevelPara123-Vs1"/>
        <w:numPr>
          <w:ilvl w:val="0"/>
          <w:numId w:val="4"/>
        </w:numPr>
      </w:pPr>
      <w:r w:rsidRPr="00A27199">
        <w:rPr>
          <w:rStyle w:val="Strong"/>
          <w:color w:val="333333"/>
        </w:rPr>
        <w:t>Authorities</w:t>
      </w:r>
      <w:r w:rsidRPr="00990436">
        <w:t>.</w:t>
      </w:r>
    </w:p>
    <w:p w14:paraId="1AACF397" w14:textId="77777777" w:rsidR="00C64A58" w:rsidRPr="00990436" w:rsidRDefault="00C64A58" w:rsidP="00C64A58">
      <w:pPr>
        <w:pStyle w:val="2ndLevelParaABC"/>
        <w:numPr>
          <w:ilvl w:val="0"/>
          <w:numId w:val="5"/>
        </w:numPr>
      </w:pPr>
      <w:r w:rsidRPr="00990436">
        <w:t xml:space="preserve">Public Law 91–596, Occupational Safety and Health Act of 1970 as amended, </w:t>
      </w:r>
      <w:r w:rsidRPr="00A27199">
        <w:t>Section 19</w:t>
      </w:r>
      <w:r w:rsidRPr="00990436">
        <w:t>.</w:t>
      </w:r>
    </w:p>
    <w:p w14:paraId="7809A24C" w14:textId="77777777" w:rsidR="00C64A58" w:rsidRPr="00990436" w:rsidRDefault="00C64A58" w:rsidP="00C64A58">
      <w:pPr>
        <w:pStyle w:val="2ndLevelParaABC"/>
      </w:pPr>
      <w:r w:rsidRPr="00A27199">
        <w:t>Executive Order 12196</w:t>
      </w:r>
      <w:r w:rsidRPr="00990436">
        <w:t>, Occupational Safety and Health Programs for Federal Employees.</w:t>
      </w:r>
    </w:p>
    <w:p w14:paraId="24A43187" w14:textId="77777777" w:rsidR="00C64A58" w:rsidRPr="00990436" w:rsidRDefault="00C64A58" w:rsidP="00C64A58">
      <w:pPr>
        <w:pStyle w:val="2ndLevelParaABC"/>
      </w:pPr>
      <w:r w:rsidRPr="00A27199">
        <w:t>29 CFR Part 1960</w:t>
      </w:r>
      <w:r w:rsidRPr="00990436">
        <w:t>, Subpart J, Evaluation of Federal Occupational Safety and Health Programs (29 CFR</w:t>
      </w:r>
      <w:r>
        <w:t xml:space="preserve"> </w:t>
      </w:r>
      <w:r w:rsidRPr="00A27199">
        <w:t>1960.78</w:t>
      </w:r>
      <w:r w:rsidRPr="00990436">
        <w:t>,</w:t>
      </w:r>
      <w:r>
        <w:t xml:space="preserve"> </w:t>
      </w:r>
      <w:r w:rsidRPr="00A27199">
        <w:t>1960.79</w:t>
      </w:r>
      <w:r w:rsidRPr="00990436">
        <w:t>, and</w:t>
      </w:r>
      <w:r>
        <w:t xml:space="preserve"> </w:t>
      </w:r>
      <w:r w:rsidRPr="00A27199">
        <w:t>1960.80</w:t>
      </w:r>
      <w:r w:rsidRPr="00990436">
        <w:t>).</w:t>
      </w:r>
    </w:p>
    <w:p w14:paraId="4A0CBB85" w14:textId="77777777" w:rsidR="00C64A58" w:rsidRPr="00990436" w:rsidRDefault="00C64A58" w:rsidP="00C64A58">
      <w:pPr>
        <w:pStyle w:val="2ndLevelParaABC"/>
      </w:pPr>
      <w:r>
        <w:t>American National Standards Institute/American Industrial Hygiene Association Z10–2019, Occupational Health and Safety Management Systems.</w:t>
      </w:r>
    </w:p>
    <w:p w14:paraId="6582AEFC" w14:textId="77777777" w:rsidR="00C64A58" w:rsidRPr="00990436" w:rsidRDefault="00C64A58" w:rsidP="00C64A58">
      <w:pPr>
        <w:pStyle w:val="2ndLevelParaABC"/>
      </w:pPr>
      <w:r w:rsidRPr="00A27199">
        <w:t xml:space="preserve">485 </w:t>
      </w:r>
      <w:r>
        <w:t>Departmental Manual (</w:t>
      </w:r>
      <w:r w:rsidRPr="00A27199">
        <w:t>DM</w:t>
      </w:r>
      <w:r>
        <w:t>)</w:t>
      </w:r>
      <w:r w:rsidRPr="00A27199">
        <w:t xml:space="preserve"> 5</w:t>
      </w:r>
      <w:r w:rsidRPr="00990436">
        <w:t>, Program Evaluations.</w:t>
      </w:r>
    </w:p>
    <w:p w14:paraId="617FF94C" w14:textId="77777777" w:rsidR="00C64A58" w:rsidRDefault="00C64A58" w:rsidP="00C64A58">
      <w:pPr>
        <w:pStyle w:val="2ndLevelParaABC"/>
      </w:pPr>
      <w:r>
        <w:t xml:space="preserve">    </w:t>
      </w:r>
      <w:r w:rsidRPr="00A27199">
        <w:t>485 DM 6</w:t>
      </w:r>
      <w:r w:rsidRPr="00990436">
        <w:t>, Inspections and Abatement.</w:t>
      </w:r>
    </w:p>
    <w:p w14:paraId="058BCD34" w14:textId="77777777" w:rsidR="00C64A58" w:rsidRPr="00990436" w:rsidRDefault="00C64A58" w:rsidP="00C64A58">
      <w:pPr>
        <w:pStyle w:val="2ndLevelParaABC"/>
        <w:numPr>
          <w:ilvl w:val="0"/>
          <w:numId w:val="4"/>
        </w:numPr>
      </w:pPr>
      <w:r w:rsidRPr="00A27199">
        <w:rPr>
          <w:b/>
          <w:bCs/>
        </w:rPr>
        <w:t>References</w:t>
      </w:r>
      <w:r>
        <w:t>.</w:t>
      </w:r>
    </w:p>
    <w:p w14:paraId="5F4BE947" w14:textId="77777777" w:rsidR="00C64A58" w:rsidRDefault="00C64A58" w:rsidP="00C64A58">
      <w:pPr>
        <w:pStyle w:val="2ndLevelParaABC"/>
        <w:numPr>
          <w:ilvl w:val="0"/>
          <w:numId w:val="9"/>
        </w:numPr>
      </w:pPr>
      <w:r>
        <w:t>Department of the Interior Handbook to Guide Completion of the Safety and Occupational Health Program Evaluation Tool, March 2010.</w:t>
      </w:r>
    </w:p>
    <w:p w14:paraId="7E413B21" w14:textId="4A73BD08" w:rsidR="00C64A58" w:rsidRDefault="00C64A58" w:rsidP="00C64A58">
      <w:pPr>
        <w:pStyle w:val="2ndLevelParaABC"/>
        <w:numPr>
          <w:ilvl w:val="0"/>
          <w:numId w:val="9"/>
        </w:numPr>
      </w:pPr>
      <w:r>
        <w:t xml:space="preserve">U.S. Geological Survey Occupational Safety and Health Guide for Program Evaluations, January 2021.  </w:t>
      </w:r>
    </w:p>
    <w:p w14:paraId="5527C4A8" w14:textId="71B03852" w:rsidR="00C64A58" w:rsidRDefault="00C64A58" w:rsidP="00C64A58">
      <w:pPr>
        <w:pStyle w:val="2ndLevelParaABC"/>
        <w:numPr>
          <w:ilvl w:val="0"/>
          <w:numId w:val="0"/>
        </w:numPr>
        <w:ind w:left="1181"/>
      </w:pPr>
    </w:p>
    <w:p w14:paraId="106D9315" w14:textId="77777777" w:rsidR="00C64A58" w:rsidRPr="00990436" w:rsidRDefault="00C64A58" w:rsidP="00C64A58">
      <w:pPr>
        <w:pStyle w:val="2ndLevelParaABC"/>
        <w:numPr>
          <w:ilvl w:val="0"/>
          <w:numId w:val="0"/>
        </w:numPr>
        <w:ind w:left="1181"/>
      </w:pPr>
    </w:p>
    <w:p w14:paraId="2786683C" w14:textId="77777777" w:rsidR="00C64A58" w:rsidRDefault="00C64A58" w:rsidP="00C64A58">
      <w:pPr>
        <w:pStyle w:val="1stLevelPara123-Vs1"/>
        <w:numPr>
          <w:ilvl w:val="0"/>
          <w:numId w:val="8"/>
        </w:numPr>
      </w:pPr>
      <w:r w:rsidRPr="00990436">
        <w:rPr>
          <w:rStyle w:val="Strong"/>
          <w:color w:val="333333"/>
        </w:rPr>
        <w:lastRenderedPageBreak/>
        <w:t>Program Evaluation</w:t>
      </w:r>
      <w:r>
        <w:t xml:space="preserve"> </w:t>
      </w:r>
      <w:r w:rsidRPr="00990436">
        <w:rPr>
          <w:rStyle w:val="Strong"/>
          <w:color w:val="333333"/>
        </w:rPr>
        <w:t>Requirements</w:t>
      </w:r>
      <w:r w:rsidRPr="00990436">
        <w:t>.</w:t>
      </w:r>
    </w:p>
    <w:p w14:paraId="6A599A63" w14:textId="77777777" w:rsidR="00C64A58" w:rsidRDefault="00C64A58" w:rsidP="00C64A58">
      <w:pPr>
        <w:pStyle w:val="1stLevelPara123-Vs1"/>
        <w:numPr>
          <w:ilvl w:val="0"/>
          <w:numId w:val="6"/>
        </w:numPr>
      </w:pPr>
      <w:r>
        <w:t>The Occupational Safety and Health Management Branch (OSHMB) will conduct evaluations of each mission area, office, and regional OSH program at least once every 3 years.</w:t>
      </w:r>
    </w:p>
    <w:p w14:paraId="0A84CAF1" w14:textId="77777777" w:rsidR="00C64A58" w:rsidRDefault="00C64A58" w:rsidP="00C64A58">
      <w:pPr>
        <w:pStyle w:val="1stLevelPara123-Vs1"/>
        <w:numPr>
          <w:ilvl w:val="0"/>
          <w:numId w:val="6"/>
        </w:numPr>
      </w:pPr>
      <w:r>
        <w:t xml:space="preserve">OSH Program </w:t>
      </w:r>
      <w:r w:rsidRPr="00990436">
        <w:t xml:space="preserve">evaluations include site visits to observe field operations and activities, interviews, and opening and closing conferences with senior staff participating. </w:t>
      </w:r>
      <w:r>
        <w:t xml:space="preserve"> Evaluation findings and recommendations will be topics of discussion d</w:t>
      </w:r>
      <w:r w:rsidRPr="00990436">
        <w:t>uring the closing conference.</w:t>
      </w:r>
    </w:p>
    <w:p w14:paraId="236A4683" w14:textId="77777777" w:rsidR="00C64A58" w:rsidRDefault="00C64A58" w:rsidP="00C64A58">
      <w:pPr>
        <w:pStyle w:val="1stLevelPara123-Vs1"/>
        <w:numPr>
          <w:ilvl w:val="0"/>
          <w:numId w:val="6"/>
        </w:numPr>
      </w:pPr>
      <w:r>
        <w:t xml:space="preserve">All </w:t>
      </w:r>
      <w:r w:rsidRPr="00990436">
        <w:t>OSH Program evaluations address Federal standards, D</w:t>
      </w:r>
      <w:r>
        <w:t xml:space="preserve">epartmental Manual chapters, </w:t>
      </w:r>
      <w:r w:rsidRPr="00990436">
        <w:t>Survey Manual</w:t>
      </w:r>
      <w:r>
        <w:t xml:space="preserve"> chapter</w:t>
      </w:r>
      <w:r w:rsidRPr="00990436">
        <w:t>s, and OSH Program requirements.</w:t>
      </w:r>
    </w:p>
    <w:p w14:paraId="3F1FC397" w14:textId="77777777" w:rsidR="00C64A58" w:rsidRPr="00990436" w:rsidRDefault="00C64A58" w:rsidP="00C64A58">
      <w:pPr>
        <w:pStyle w:val="1stLevelPara123-Vs1"/>
        <w:numPr>
          <w:ilvl w:val="0"/>
          <w:numId w:val="6"/>
        </w:numPr>
      </w:pPr>
      <w:r>
        <w:t xml:space="preserve">OSH </w:t>
      </w:r>
      <w:r w:rsidRPr="00990436">
        <w:t>Program evaluations follow the format and criteria specified in the USGS Occupational Safety and Health Guide for Program Evaluations, to include a review of the following OSH Program Evaluation Components:</w:t>
      </w:r>
    </w:p>
    <w:p w14:paraId="409F53F1" w14:textId="77777777" w:rsidR="00C64A58" w:rsidRPr="00990436" w:rsidRDefault="00C64A58" w:rsidP="00C64A58">
      <w:pPr>
        <w:pStyle w:val="3rdLevelPara123"/>
        <w:numPr>
          <w:ilvl w:val="0"/>
          <w:numId w:val="7"/>
        </w:numPr>
      </w:pPr>
      <w:r w:rsidRPr="00990436">
        <w:t>Leadership and Management.</w:t>
      </w:r>
    </w:p>
    <w:p w14:paraId="3B642775" w14:textId="77777777" w:rsidR="00C64A58" w:rsidRPr="00990436" w:rsidRDefault="00C64A58" w:rsidP="00C64A58">
      <w:pPr>
        <w:pStyle w:val="3rdLevelPara123"/>
      </w:pPr>
      <w:r w:rsidRPr="00990436">
        <w:t>Employee Participation.</w:t>
      </w:r>
    </w:p>
    <w:p w14:paraId="0C4A845B" w14:textId="77777777" w:rsidR="00C64A58" w:rsidRPr="00990436" w:rsidRDefault="00C64A58" w:rsidP="00C64A58">
      <w:pPr>
        <w:pStyle w:val="3rdLevelPara123"/>
      </w:pPr>
      <w:r w:rsidRPr="00990436">
        <w:t>Hazard Recognition and Prevention.</w:t>
      </w:r>
    </w:p>
    <w:p w14:paraId="21C44A29" w14:textId="77777777" w:rsidR="00C64A58" w:rsidRPr="00990436" w:rsidRDefault="00C64A58" w:rsidP="00C64A58">
      <w:pPr>
        <w:pStyle w:val="3rdLevelPara123"/>
      </w:pPr>
      <w:r w:rsidRPr="00990436">
        <w:t>Evaluation and Analysis.</w:t>
      </w:r>
    </w:p>
    <w:p w14:paraId="025DDC18" w14:textId="77777777" w:rsidR="00C64A58" w:rsidRPr="00990436" w:rsidRDefault="00C64A58" w:rsidP="00C64A58">
      <w:pPr>
        <w:pStyle w:val="3rdLevelPara123"/>
      </w:pPr>
      <w:r w:rsidRPr="00990436">
        <w:t>Training and Awareness.</w:t>
      </w:r>
    </w:p>
    <w:p w14:paraId="65D125FC" w14:textId="77777777" w:rsidR="00C64A58" w:rsidRPr="00990436" w:rsidRDefault="00C64A58" w:rsidP="00C64A58">
      <w:pPr>
        <w:pStyle w:val="3rdLevelPara123"/>
      </w:pPr>
      <w:r w:rsidRPr="00990436">
        <w:t>Program Implementation and Operation.</w:t>
      </w:r>
    </w:p>
    <w:p w14:paraId="23AB2744" w14:textId="56B058AE" w:rsidR="00C64A58" w:rsidRDefault="00C64A58" w:rsidP="00C64A58">
      <w:pPr>
        <w:pStyle w:val="2ndLevelParaABC"/>
        <w:numPr>
          <w:ilvl w:val="0"/>
          <w:numId w:val="6"/>
        </w:numPr>
      </w:pPr>
      <w:r>
        <w:t xml:space="preserve">The Chief OSHMB will transmit OSH Program Evaluation reports to the respective Associate or Regional Director.  Reports shall address best practices, OSH Program deficiencies and findings, recommendations for corrective actions, and suggestions for OSH Program enhancements.  Mission area, office, or regional evaluation reports actions to address report findings will be documented in the Inspection and Abatement System (IAS). </w:t>
      </w:r>
    </w:p>
    <w:p w14:paraId="780E29B3" w14:textId="77777777" w:rsidR="00C64A58" w:rsidRPr="009D64AB" w:rsidRDefault="00C64A58" w:rsidP="00C64A58">
      <w:pPr>
        <w:pStyle w:val="2ndLevelParaABC"/>
        <w:numPr>
          <w:ilvl w:val="0"/>
          <w:numId w:val="6"/>
        </w:numPr>
      </w:pPr>
      <w:r>
        <w:t xml:space="preserve">  The </w:t>
      </w:r>
      <w:r w:rsidRPr="009D64AB">
        <w:t xml:space="preserve">evaluated organization </w:t>
      </w:r>
      <w:r>
        <w:t>will</w:t>
      </w:r>
      <w:r w:rsidRPr="009D64AB">
        <w:t xml:space="preserve"> document </w:t>
      </w:r>
      <w:r>
        <w:t xml:space="preserve">all </w:t>
      </w:r>
      <w:r w:rsidRPr="009D64AB">
        <w:t xml:space="preserve">corrective actions </w:t>
      </w:r>
      <w:r>
        <w:t xml:space="preserve">that pertain to reported </w:t>
      </w:r>
      <w:r w:rsidRPr="009D64AB">
        <w:t>deficiencies and findings in IAS within 60 calendar days</w:t>
      </w:r>
      <w:r>
        <w:t xml:space="preserve"> from the date of the report</w:t>
      </w:r>
      <w:r w:rsidRPr="009D64AB">
        <w:t>.</w:t>
      </w:r>
      <w:r>
        <w:t xml:space="preserve"> </w:t>
      </w:r>
      <w:r w:rsidRPr="009D64AB">
        <w:t xml:space="preserve"> OSH Program deficiencies </w:t>
      </w:r>
      <w:r>
        <w:t>will</w:t>
      </w:r>
      <w:r w:rsidRPr="009D64AB">
        <w:t xml:space="preserve"> be tracked quarterly at a minimum</w:t>
      </w:r>
      <w:r>
        <w:t>,</w:t>
      </w:r>
      <w:r w:rsidRPr="009D64AB">
        <w:t xml:space="preserve"> with final abatement actions documented within IAS.</w:t>
      </w:r>
    </w:p>
    <w:p w14:paraId="5262BB9A" w14:textId="77777777" w:rsidR="00C64A58" w:rsidRDefault="00C64A58" w:rsidP="00C64A58">
      <w:pPr>
        <w:pStyle w:val="2ndLevelParaABC"/>
        <w:numPr>
          <w:ilvl w:val="0"/>
          <w:numId w:val="6"/>
        </w:numPr>
      </w:pPr>
      <w:r>
        <w:t xml:space="preserve">Follow-up visits and status reports will be used to verify that deficiencies are resolved.  </w:t>
      </w:r>
    </w:p>
    <w:p w14:paraId="1E6FFBC6" w14:textId="77777777" w:rsidR="00AF0723" w:rsidRDefault="00AF0723"/>
    <w:sectPr w:rsidR="00AF07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20AD" w14:textId="77777777" w:rsidR="00A91903" w:rsidRDefault="00A91903" w:rsidP="00EB4F5B">
      <w:pPr>
        <w:spacing w:after="0" w:line="240" w:lineRule="auto"/>
      </w:pPr>
      <w:r>
        <w:separator/>
      </w:r>
    </w:p>
  </w:endnote>
  <w:endnote w:type="continuationSeparator" w:id="0">
    <w:p w14:paraId="078A768F" w14:textId="77777777" w:rsidR="00A91903" w:rsidRDefault="00A91903" w:rsidP="00EB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200E" w14:textId="77777777" w:rsidR="00EB4F5B" w:rsidRDefault="00EB4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10029632"/>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5F793601" w14:textId="77777777" w:rsidR="00EB4F5B" w:rsidRDefault="00EB4F5B" w:rsidP="00EB4F5B">
            <w:pPr>
              <w:pStyle w:val="Foot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PAGE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1</w:t>
            </w:r>
            <w:r>
              <w:rPr>
                <w:rFonts w:ascii="Times New Roman" w:hAnsi="Times New Roman" w:cs="Times New Roman"/>
                <w:b/>
                <w:bCs/>
                <w:sz w:val="20"/>
                <w:szCs w:val="20"/>
              </w:rPr>
              <w:fldChar w:fldCharType="end"/>
            </w:r>
            <w:r>
              <w:rPr>
                <w:rFonts w:ascii="Times New Roman" w:hAnsi="Times New Roman" w:cs="Times New Roman"/>
                <w:sz w:val="20"/>
                <w:szCs w:val="20"/>
              </w:rPr>
              <w:t xml:space="preserve"> of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NUMPAGES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3</w:t>
            </w:r>
            <w:r>
              <w:rPr>
                <w:rFonts w:ascii="Times New Roman" w:hAnsi="Times New Roman" w:cs="Times New Roman"/>
                <w:b/>
                <w:bCs/>
                <w:sz w:val="20"/>
                <w:szCs w:val="20"/>
              </w:rPr>
              <w:fldChar w:fldCharType="end"/>
            </w:r>
          </w:p>
        </w:sdtContent>
      </w:sdt>
    </w:sdtContent>
  </w:sdt>
  <w:p w14:paraId="29C47DF2" w14:textId="77777777" w:rsidR="00EB4F5B" w:rsidRDefault="00EB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EDAB" w14:textId="77777777" w:rsidR="00EB4F5B" w:rsidRDefault="00EB4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F021" w14:textId="77777777" w:rsidR="00A91903" w:rsidRDefault="00A91903" w:rsidP="00EB4F5B">
      <w:pPr>
        <w:spacing w:after="0" w:line="240" w:lineRule="auto"/>
      </w:pPr>
      <w:r>
        <w:separator/>
      </w:r>
    </w:p>
  </w:footnote>
  <w:footnote w:type="continuationSeparator" w:id="0">
    <w:p w14:paraId="3F7E9F5A" w14:textId="77777777" w:rsidR="00A91903" w:rsidRDefault="00A91903" w:rsidP="00EB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5C78" w14:textId="77777777" w:rsidR="00EB4F5B" w:rsidRDefault="00EB4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E36A" w14:textId="77777777" w:rsidR="00EB4F5B" w:rsidRDefault="00EB4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B96F" w14:textId="77777777" w:rsidR="00EB4F5B" w:rsidRDefault="00EB4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965"/>
    <w:multiLevelType w:val="hybridMultilevel"/>
    <w:tmpl w:val="E398C89C"/>
    <w:lvl w:ilvl="0" w:tplc="E6A4AF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3E79"/>
    <w:multiLevelType w:val="hybridMultilevel"/>
    <w:tmpl w:val="72A23030"/>
    <w:lvl w:ilvl="0" w:tplc="360A84EA">
      <w:start w:val="1"/>
      <w:numFmt w:val="upperLetter"/>
      <w:pStyle w:val="2ndLevelParaABC"/>
      <w:lvlText w:val="%1."/>
      <w:lvlJc w:val="left"/>
      <w:pPr>
        <w:ind w:left="1181" w:hanging="461"/>
      </w:pPr>
      <w:rPr>
        <w:rFonts w:hint="default"/>
        <w:b w:val="0"/>
        <w:bCs w:val="0"/>
        <w:i w:val="0"/>
        <w:iCs w:val="0"/>
      </w:rPr>
    </w:lvl>
    <w:lvl w:ilvl="1" w:tplc="8842DEB6">
      <w:start w:val="1"/>
      <w:numFmt w:val="decimal"/>
      <w:lvlText w:val="(%2)"/>
      <w:lvlJc w:val="left"/>
      <w:pPr>
        <w:ind w:left="1699" w:hanging="360"/>
      </w:pPr>
      <w:rPr>
        <w:rFonts w:hint="default"/>
      </w:rPr>
    </w:lvl>
    <w:lvl w:ilvl="2" w:tplc="F9DAD808">
      <w:start w:val="1"/>
      <w:numFmt w:val="lowerLetter"/>
      <w:lvlText w:val="(%3)"/>
      <w:lvlJc w:val="left"/>
      <w:pPr>
        <w:ind w:left="2599" w:hanging="360"/>
      </w:pPr>
      <w:rPr>
        <w:rFonts w:ascii="Times New Roman" w:eastAsia="Times New Roman" w:hAnsi="Times New Roman" w:cs="Times New Roman"/>
      </w:rPr>
    </w:lvl>
    <w:lvl w:ilvl="3" w:tplc="0409001B">
      <w:start w:val="1"/>
      <w:numFmt w:val="lowerRoman"/>
      <w:lvlText w:val="%4."/>
      <w:lvlJc w:val="right"/>
      <w:pPr>
        <w:ind w:left="3139" w:hanging="360"/>
      </w:pPr>
      <w:rPr>
        <w:rFonts w:hint="default"/>
      </w:rPr>
    </w:lvl>
    <w:lvl w:ilvl="4" w:tplc="8FC63C80">
      <w:start w:val="1"/>
      <w:numFmt w:val="lowerRoman"/>
      <w:lvlText w:val="(%5)"/>
      <w:lvlJc w:val="left"/>
      <w:pPr>
        <w:ind w:left="4219" w:hanging="720"/>
      </w:pPr>
      <w:rPr>
        <w:rFonts w:hint="default"/>
      </w:rPr>
    </w:lvl>
    <w:lvl w:ilvl="5" w:tplc="57B64742">
      <w:start w:val="1"/>
      <w:numFmt w:val="upperLetter"/>
      <w:lvlText w:val="(%6)"/>
      <w:lvlJc w:val="left"/>
      <w:pPr>
        <w:ind w:left="4759" w:hanging="360"/>
      </w:pPr>
      <w:rPr>
        <w:rFonts w:hint="default"/>
      </w:rPr>
    </w:lvl>
    <w:lvl w:ilvl="6" w:tplc="2068A4EC">
      <w:start w:val="4"/>
      <w:numFmt w:val="lowerLetter"/>
      <w:lvlText w:val="%7)"/>
      <w:lvlJc w:val="left"/>
      <w:pPr>
        <w:ind w:left="5299" w:hanging="360"/>
      </w:pPr>
      <w:rPr>
        <w:rFonts w:hint="default"/>
      </w:r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 w15:restartNumberingAfterBreak="0">
    <w:nsid w:val="0A70187C"/>
    <w:multiLevelType w:val="hybridMultilevel"/>
    <w:tmpl w:val="F96C3B4E"/>
    <w:lvl w:ilvl="0" w:tplc="A442F3FE">
      <w:start w:val="1"/>
      <w:numFmt w:val="decimal"/>
      <w:pStyle w:val="1stLevelPara123-Vs1"/>
      <w:lvlText w:val="%1."/>
      <w:lvlJc w:val="left"/>
      <w:pPr>
        <w:ind w:left="461" w:hanging="461"/>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3F39"/>
    <w:multiLevelType w:val="hybridMultilevel"/>
    <w:tmpl w:val="E09E9D24"/>
    <w:lvl w:ilvl="0" w:tplc="DD4666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4142F"/>
    <w:multiLevelType w:val="hybridMultilevel"/>
    <w:tmpl w:val="B224B3CC"/>
    <w:lvl w:ilvl="0" w:tplc="0944D714">
      <w:start w:val="1"/>
      <w:numFmt w:val="upperLetter"/>
      <w:lvlText w:val="%1."/>
      <w:lvlJc w:val="left"/>
      <w:pPr>
        <w:ind w:left="1080" w:hanging="360"/>
      </w:pPr>
      <w:rPr>
        <w:rFonts w:ascii="Times New Roman" w:eastAsia="Calibri" w:hAnsi="Times New Roman"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6445AE"/>
    <w:multiLevelType w:val="hybridMultilevel"/>
    <w:tmpl w:val="41EEAFE4"/>
    <w:lvl w:ilvl="0" w:tplc="614CF698">
      <w:start w:val="1"/>
      <w:numFmt w:val="decimal"/>
      <w:pStyle w:val="3rdLevelPara123"/>
      <w:lvlText w:val="(%1)"/>
      <w:lvlJc w:val="left"/>
      <w:pPr>
        <w:ind w:left="1454" w:hanging="532"/>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1AC"/>
    <w:multiLevelType w:val="hybridMultilevel"/>
    <w:tmpl w:val="E24E4534"/>
    <w:lvl w:ilvl="0" w:tplc="04090015">
      <w:start w:val="1"/>
      <w:numFmt w:val="upperLetter"/>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num w:numId="1">
    <w:abstractNumId w:val="2"/>
  </w:num>
  <w:num w:numId="2">
    <w:abstractNumId w:val="1"/>
  </w:num>
  <w:num w:numId="3">
    <w:abstractNumId w:val="5"/>
  </w:num>
  <w:num w:numId="4">
    <w:abstractNumId w:val="3"/>
  </w:num>
  <w:num w:numId="5">
    <w:abstractNumId w:val="1"/>
    <w:lvlOverride w:ilvl="0">
      <w:startOverride w:val="1"/>
    </w:lvlOverride>
  </w:num>
  <w:num w:numId="6">
    <w:abstractNumId w:val="4"/>
  </w:num>
  <w:num w:numId="7">
    <w:abstractNumId w:val="5"/>
    <w:lvlOverride w:ilvl="0">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E9"/>
    <w:rsid w:val="001A1DE9"/>
    <w:rsid w:val="00A91903"/>
    <w:rsid w:val="00AF0723"/>
    <w:rsid w:val="00C64A58"/>
    <w:rsid w:val="00EB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9A6B"/>
  <w15:chartTrackingRefBased/>
  <w15:docId w15:val="{824358DB-EAA6-46D9-ABCF-1C5BDFB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4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A58"/>
    <w:rPr>
      <w:b/>
      <w:bCs/>
    </w:rPr>
  </w:style>
  <w:style w:type="paragraph" w:customStyle="1" w:styleId="1stLevelPara123-Vs1">
    <w:name w:val="1st Level Para 1.2.3. -Vs1"/>
    <w:qFormat/>
    <w:rsid w:val="00C64A58"/>
    <w:pPr>
      <w:numPr>
        <w:numId w:val="1"/>
      </w:numPr>
      <w:tabs>
        <w:tab w:val="left" w:pos="461"/>
      </w:tabs>
      <w:spacing w:after="240" w:line="240" w:lineRule="auto"/>
      <w:outlineLvl w:val="0"/>
    </w:pPr>
    <w:rPr>
      <w:rFonts w:ascii="Times New Roman" w:eastAsia="Calibri" w:hAnsi="Times New Roman" w:cs="Arial"/>
      <w:sz w:val="24"/>
      <w:szCs w:val="20"/>
    </w:rPr>
  </w:style>
  <w:style w:type="paragraph" w:customStyle="1" w:styleId="2ndLevelParaABC">
    <w:name w:val="2nd Level Para A.B.C."/>
    <w:basedOn w:val="Normal"/>
    <w:qFormat/>
    <w:rsid w:val="00C64A58"/>
    <w:pPr>
      <w:numPr>
        <w:numId w:val="2"/>
      </w:numPr>
      <w:tabs>
        <w:tab w:val="left" w:pos="922"/>
      </w:tabs>
      <w:spacing w:after="240" w:line="240" w:lineRule="auto"/>
    </w:pPr>
    <w:rPr>
      <w:rFonts w:ascii="Times New Roman" w:eastAsia="Calibri" w:hAnsi="Times New Roman" w:cs="Times New Roman"/>
      <w:sz w:val="24"/>
      <w:szCs w:val="24"/>
    </w:rPr>
  </w:style>
  <w:style w:type="paragraph" w:customStyle="1" w:styleId="3rdLevelPara123">
    <w:name w:val="3rd Level Para (1)(2)(3)"/>
    <w:basedOn w:val="Normal"/>
    <w:autoRedefine/>
    <w:qFormat/>
    <w:rsid w:val="00C64A58"/>
    <w:pPr>
      <w:numPr>
        <w:numId w:val="3"/>
      </w:numPr>
      <w:tabs>
        <w:tab w:val="left" w:pos="1454"/>
      </w:tabs>
      <w:spacing w:after="240" w:line="276" w:lineRule="auto"/>
    </w:pPr>
    <w:rPr>
      <w:rFonts w:ascii="Times New Roman" w:eastAsia="Calibri" w:hAnsi="Times New Roman" w:cs="Arial"/>
      <w:sz w:val="24"/>
      <w:szCs w:val="24"/>
    </w:rPr>
  </w:style>
  <w:style w:type="paragraph" w:styleId="Header">
    <w:name w:val="header"/>
    <w:basedOn w:val="Normal"/>
    <w:link w:val="HeaderChar"/>
    <w:uiPriority w:val="99"/>
    <w:unhideWhenUsed/>
    <w:rsid w:val="00E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F5B"/>
  </w:style>
  <w:style w:type="paragraph" w:styleId="Footer">
    <w:name w:val="footer"/>
    <w:basedOn w:val="Normal"/>
    <w:link w:val="FooterChar"/>
    <w:uiPriority w:val="99"/>
    <w:unhideWhenUsed/>
    <w:rsid w:val="00E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4</cp:revision>
  <dcterms:created xsi:type="dcterms:W3CDTF">2022-12-31T17:25:00Z</dcterms:created>
  <dcterms:modified xsi:type="dcterms:W3CDTF">2023-01-03T15:22:00Z</dcterms:modified>
</cp:coreProperties>
</file>